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88A5B" w14:textId="108FB640" w:rsidR="00344BAF" w:rsidRPr="00F531CD" w:rsidRDefault="00344BAF" w:rsidP="00344BAF">
      <w:pPr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Не ограничиваясь нижеизложенным, на </w:t>
      </w:r>
      <w:r w:rsidR="007435C4" w:rsidRPr="00F531CD">
        <w:rPr>
          <w:rFonts w:ascii="Calibri" w:hAnsi="Calibri" w:cs="Calibri"/>
          <w:sz w:val="24"/>
          <w:szCs w:val="24"/>
        </w:rPr>
        <w:t>Делового партнера</w:t>
      </w:r>
      <w:r w:rsidRPr="00F531CD">
        <w:rPr>
          <w:rFonts w:ascii="Calibri" w:hAnsi="Calibri" w:cs="Calibri"/>
          <w:sz w:val="24"/>
          <w:szCs w:val="24"/>
        </w:rPr>
        <w:t xml:space="preserve"> распространяются все требования, предъявляемые российскими нормативно-правовыми актами к хранению и транспортировке лекарственных препаратов, включая </w:t>
      </w:r>
      <w:r w:rsidR="007E349C" w:rsidRPr="00F531CD">
        <w:rPr>
          <w:rFonts w:ascii="Calibri" w:hAnsi="Calibri" w:cs="Calibri"/>
          <w:sz w:val="24"/>
          <w:szCs w:val="24"/>
        </w:rPr>
        <w:t>Решение Совета Евразийской экономической комиссии от 03.11.2016 N 80 "Об утверждении Правил надлежащей дистрибьюторской практики в рамках Евразийского экономического союза" и Общая фармакопейная статья "Хранение лекарственных средств. ОФС.1.1.0010.15" ("Государственная фармакопея Российской Федерации. XIII издание. Том I")</w:t>
      </w:r>
      <w:r w:rsidRPr="00F531CD">
        <w:rPr>
          <w:rFonts w:ascii="Calibri" w:hAnsi="Calibri" w:cs="Calibri"/>
          <w:sz w:val="24"/>
          <w:szCs w:val="24"/>
        </w:rPr>
        <w:t xml:space="preserve">. </w:t>
      </w:r>
    </w:p>
    <w:p w14:paraId="42E0B3A7" w14:textId="77777777" w:rsidR="00344BAF" w:rsidRPr="00F531CD" w:rsidRDefault="00344BAF" w:rsidP="00344BAF">
      <w:pPr>
        <w:spacing w:after="0"/>
        <w:rPr>
          <w:rFonts w:ascii="Calibri" w:hAnsi="Calibri" w:cs="Calibri"/>
          <w:b/>
          <w:sz w:val="24"/>
          <w:szCs w:val="24"/>
        </w:rPr>
      </w:pPr>
      <w:r w:rsidRPr="00F531CD">
        <w:rPr>
          <w:rFonts w:ascii="Calibri" w:hAnsi="Calibri" w:cs="Calibri"/>
          <w:b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b/>
          <w:sz w:val="24"/>
          <w:szCs w:val="24"/>
          <w:lang w:val="en-US"/>
        </w:rPr>
        <w:t>I</w:t>
      </w:r>
      <w:r w:rsidRPr="00F531CD">
        <w:rPr>
          <w:rFonts w:ascii="Calibri" w:hAnsi="Calibri" w:cs="Calibri"/>
          <w:b/>
          <w:sz w:val="24"/>
          <w:szCs w:val="24"/>
        </w:rPr>
        <w:t xml:space="preserve"> - Требования к складским помещениям</w:t>
      </w:r>
    </w:p>
    <w:p w14:paraId="0B4BB12D" w14:textId="23ED6AB4" w:rsidR="00344BAF" w:rsidRPr="00F531CD" w:rsidRDefault="00344BAF" w:rsidP="00344BAF">
      <w:pPr>
        <w:pStyle w:val="2"/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1.</w:t>
      </w:r>
      <w:r w:rsidR="007E349C" w:rsidRPr="00F531CD">
        <w:rPr>
          <w:rFonts w:ascii="Calibri" w:hAnsi="Calibri" w:cs="Calibri"/>
          <w:b w:val="0"/>
          <w:color w:val="auto"/>
          <w:sz w:val="24"/>
          <w:szCs w:val="24"/>
        </w:rPr>
        <w:t>1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. Складские помещения должны быть разделены на следующие зоны:</w:t>
      </w:r>
    </w:p>
    <w:p w14:paraId="71D8CE42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приемки;</w:t>
      </w:r>
    </w:p>
    <w:p w14:paraId="256D9BAF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хранения;</w:t>
      </w:r>
    </w:p>
    <w:p w14:paraId="78FA5D04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отгрузки (экспедиция);</w:t>
      </w:r>
    </w:p>
    <w:p w14:paraId="37CF577E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зона размещения забракованной продукции.</w:t>
      </w:r>
    </w:p>
    <w:p w14:paraId="285C4C20" w14:textId="13D889A6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Все зоны должны иметь четкое разделение</w:t>
      </w:r>
      <w:r w:rsidR="00DA5CBF" w:rsidRPr="00F531CD">
        <w:rPr>
          <w:rFonts w:ascii="Calibri" w:hAnsi="Calibri" w:cs="Calibri"/>
          <w:sz w:val="24"/>
          <w:szCs w:val="24"/>
        </w:rPr>
        <w:t xml:space="preserve"> и быть оборудованы системой цифрового видеонаблюдения с возможностью хранения архивных видеозаписей не менее 30 календарных дней</w:t>
      </w:r>
      <w:r w:rsidRPr="00F531CD">
        <w:rPr>
          <w:rFonts w:ascii="Calibri" w:hAnsi="Calibri" w:cs="Calibri"/>
          <w:sz w:val="24"/>
          <w:szCs w:val="24"/>
        </w:rPr>
        <w:t>.</w:t>
      </w:r>
    </w:p>
    <w:p w14:paraId="5270E73D" w14:textId="5B7D901B" w:rsidR="006B7F4F" w:rsidRPr="00F531CD" w:rsidRDefault="00344BAF" w:rsidP="00344BAF">
      <w:pPr>
        <w:pStyle w:val="2"/>
        <w:tabs>
          <w:tab w:val="left" w:pos="426"/>
        </w:tabs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1.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>2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. Зона размещения забракованных лекарственных средств должна быть отделена от других зон склада, доступ в зону размещения забракованных лекарственных средств продукции должен быть ограничен.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14:paraId="77E128CF" w14:textId="6117C865" w:rsidR="00344BAF" w:rsidRPr="00F531CD" w:rsidRDefault="006B7F4F" w:rsidP="00344BAF">
      <w:pPr>
        <w:pStyle w:val="2"/>
        <w:tabs>
          <w:tab w:val="left" w:pos="426"/>
        </w:tabs>
        <w:spacing w:befor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1.3 Комнаты отдыха, гардеробные комнаты, душевые и туалеты не допускаются в зонах, перечисленных в п. 1.1. Наличие пищевых продуктов, напитков, табачных изделий, а также лекарственных средств для личного использования в помещениях склада запрещено.</w:t>
      </w:r>
    </w:p>
    <w:p w14:paraId="13E78E74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Доступ посторонних в помещения склада должен быть ограничен техническими средствами.</w:t>
      </w:r>
    </w:p>
    <w:p w14:paraId="3550B85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Зона приемки и зона отгрузки (экспедиция) должны быть оснащены доковым оборудованием, позволяющим производить погрузку-разгрузку автотранспорта с защитой от воздействия окружающей среды. </w:t>
      </w:r>
    </w:p>
    <w:p w14:paraId="74BD4815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Для термолабильных лекарственных средств зоны приемки и зоны отгрузки (экспедиции) должны быть оборудованы согласно п. 1.8. </w:t>
      </w:r>
    </w:p>
    <w:p w14:paraId="1C834358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Нахождение термолабильных лекарственных средств вне температурного режима +5,0±3,0 ⁰С должно контролироваться отдельно и не должно превышать 30 минут. </w:t>
      </w:r>
    </w:p>
    <w:p w14:paraId="72BB483B" w14:textId="03407036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Зона хранения термолабильных лекарственных средств должна быть оборудована </w:t>
      </w:r>
      <w:r w:rsidR="002607CE" w:rsidRPr="00F531CD">
        <w:rPr>
          <w:rFonts w:ascii="Calibri" w:hAnsi="Calibri" w:cs="Calibri"/>
          <w:b w:val="0"/>
          <w:color w:val="auto"/>
          <w:sz w:val="24"/>
          <w:szCs w:val="24"/>
        </w:rPr>
        <w:t>среднетемпературными холодильными камерами (помещением),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обеспечивающими температурный режим хранения +5,0±3,0 ⁰С. Все используемое оборудование должно быть квалифицировано и подключено к бесперебойному источнику электропитания. Система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lastRenderedPageBreak/>
        <w:t>контроля климатических параметров должна иметь средства технического оповещения о нарушении температурного режима хранения.</w:t>
      </w:r>
    </w:p>
    <w:p w14:paraId="15CEE14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Зона хранения лекарственных средств должна быть оборудована техническими средствами и стеллажным оборудованием обеспечивающих сохранность, раздельное хранение и исключение смешивания лекарственных средств.</w:t>
      </w:r>
    </w:p>
    <w:p w14:paraId="3CA5B66A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Мониторинг климатических параметров должен производиться постоянно, с фиксацией в журналах учета:</w:t>
      </w:r>
    </w:p>
    <w:p w14:paraId="3C53D4E1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не реже двух раз в сутки для зон приемки и зоны отгрузки (экспедиция);</w:t>
      </w:r>
    </w:p>
    <w:p w14:paraId="771A8371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не реже двух раз в сутки для зоны хранения + (15-25) ⁰С;</w:t>
      </w:r>
    </w:p>
    <w:p w14:paraId="4F317FBC" w14:textId="6B8DF498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- не реже 24 раз в сутки для среднетемпературных холодильных камер. </w:t>
      </w:r>
      <w:r w:rsidR="002607CE" w:rsidRPr="00F531CD">
        <w:rPr>
          <w:rFonts w:ascii="Calibri" w:hAnsi="Calibri" w:cs="Calibri"/>
          <w:sz w:val="24"/>
          <w:szCs w:val="24"/>
        </w:rPr>
        <w:t>В случае внесения готовой продукции БИОКАД в список МИБП</w:t>
      </w:r>
      <w:r w:rsidRPr="00F531CD">
        <w:rPr>
          <w:rFonts w:ascii="Calibri" w:hAnsi="Calibri" w:cs="Calibri"/>
          <w:sz w:val="24"/>
          <w:szCs w:val="24"/>
        </w:rPr>
        <w:t xml:space="preserve"> контроль должен осуществляться не реже 1 раза в минуту.</w:t>
      </w:r>
    </w:p>
    <w:p w14:paraId="7F3A310D" w14:textId="77777777" w:rsidR="00EE048B" w:rsidRPr="00F531CD" w:rsidRDefault="00344BAF" w:rsidP="00983E98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Допускается использование автоматизированных систем сбора и хранения данных климатических параметров. </w:t>
      </w:r>
    </w:p>
    <w:p w14:paraId="73CEF3B1" w14:textId="77777777" w:rsidR="00EE048B" w:rsidRPr="00F531CD" w:rsidRDefault="002607CE" w:rsidP="00983E98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Перед началом использования компьютеризированной системы 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складского учета и хранения, автоматизированной системы сбора и хранения данных климатических параметров 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необходимо 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проведение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валидации, 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с целью подтверждения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способн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ости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получ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ения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заданны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х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результат</w:t>
      </w:r>
      <w:r w:rsidR="00983E98"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>ов</w:t>
      </w: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точно, единообразно и воспроизводимо.</w:t>
      </w:r>
    </w:p>
    <w:p w14:paraId="0965F66D" w14:textId="208A46E8" w:rsidR="00344BAF" w:rsidRPr="00F531CD" w:rsidRDefault="00344BAF" w:rsidP="00983E98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Все используемые средства измерения должны быть внесены в Государственный реестр средств измерения и иметь действующий сертификат поверки. </w:t>
      </w:r>
    </w:p>
    <w:p w14:paraId="27AB613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В складских помещениях должны быть организованы и выполнятся на постоянной основе мероприятия по дезинфекции, дезинсекции и влажной уборке.</w:t>
      </w:r>
    </w:p>
    <w:p w14:paraId="74BDDFA9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Технологические процессы и операции должны быть описаны во внутренних регламентирующих документах, отдельно описывающие следующие процессы:</w:t>
      </w:r>
    </w:p>
    <w:p w14:paraId="333A3E52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Прием готовых лекарственных препаратов и изделий медицинского назначения;</w:t>
      </w:r>
    </w:p>
    <w:p w14:paraId="5C75A73B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Хранение готовых лекарственных средств и изделий медицинского назначения;</w:t>
      </w:r>
    </w:p>
    <w:p w14:paraId="289D5B4D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Отгрузка готовых лекарственных препаратов и изделий медицинского назначения;</w:t>
      </w:r>
    </w:p>
    <w:p w14:paraId="37C45CC9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Уборка помещений и очистка оборудования;</w:t>
      </w:r>
    </w:p>
    <w:p w14:paraId="03284D43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Контроль климатических параметров;</w:t>
      </w:r>
    </w:p>
    <w:p w14:paraId="3C28A655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Техника безопасности на рабочем месте;</w:t>
      </w:r>
    </w:p>
    <w:p w14:paraId="7E81DE0C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работы с забракованной продукцией;</w:t>
      </w:r>
    </w:p>
    <w:p w14:paraId="57307B07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работы с термолабильной готовой продукцией;</w:t>
      </w:r>
    </w:p>
    <w:p w14:paraId="79ECA15E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утилизации готовой продукции;</w:t>
      </w:r>
    </w:p>
    <w:p w14:paraId="05F78D96" w14:textId="77777777" w:rsidR="00344BAF" w:rsidRPr="00F531CD" w:rsidRDefault="00344BAF" w:rsidP="00344BAF">
      <w:pPr>
        <w:pStyle w:val="a8"/>
        <w:numPr>
          <w:ilvl w:val="1"/>
          <w:numId w:val="6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обучения персонала.</w:t>
      </w:r>
    </w:p>
    <w:p w14:paraId="04FF5F7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Приказами по предприятию (учреждению) должны быть назначены:</w:t>
      </w:r>
    </w:p>
    <w:p w14:paraId="53FE96B3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руководитель (заведующий) складом;</w:t>
      </w:r>
    </w:p>
    <w:p w14:paraId="68E82086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lastRenderedPageBreak/>
        <w:t>- уполномоченный по качеству.</w:t>
      </w:r>
    </w:p>
    <w:p w14:paraId="2C34AA2B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1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Состав комиссии по приемке лекарственных препаратов, списанию недоброкачественных лекарственных препаратов определяется приказом по предприятию (учреждению).</w:t>
      </w:r>
    </w:p>
    <w:p w14:paraId="7B710644" w14:textId="4D016074" w:rsidR="00344BAF" w:rsidRPr="00F531CD" w:rsidRDefault="00344BAF" w:rsidP="00344BAF">
      <w:pPr>
        <w:pStyle w:val="1"/>
        <w:tabs>
          <w:tab w:val="left" w:pos="426"/>
        </w:tabs>
        <w:spacing w:before="0"/>
        <w:rPr>
          <w:rFonts w:ascii="Calibri" w:hAnsi="Calibri" w:cs="Calibri"/>
          <w:color w:val="auto"/>
          <w:sz w:val="24"/>
          <w:szCs w:val="24"/>
        </w:rPr>
      </w:pPr>
      <w:r w:rsidRPr="00F531CD">
        <w:rPr>
          <w:rFonts w:ascii="Calibri" w:hAnsi="Calibri" w:cs="Calibri"/>
          <w:color w:val="auto"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color w:val="auto"/>
          <w:sz w:val="24"/>
          <w:szCs w:val="24"/>
          <w:lang w:val="en-US"/>
        </w:rPr>
        <w:t>II</w:t>
      </w:r>
      <w:r w:rsidRPr="00F531CD">
        <w:rPr>
          <w:rFonts w:ascii="Calibri" w:hAnsi="Calibri" w:cs="Calibri"/>
          <w:color w:val="auto"/>
          <w:sz w:val="24"/>
          <w:szCs w:val="24"/>
        </w:rPr>
        <w:t xml:space="preserve"> - Требования к персонал</w:t>
      </w:r>
      <w:r w:rsidR="006B7F4F" w:rsidRPr="00F531CD">
        <w:rPr>
          <w:rFonts w:ascii="Calibri" w:hAnsi="Calibri" w:cs="Calibri"/>
          <w:color w:val="auto"/>
          <w:sz w:val="24"/>
          <w:szCs w:val="24"/>
        </w:rPr>
        <w:t>у</w:t>
      </w:r>
    </w:p>
    <w:p w14:paraId="3A0A45F4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7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Квалификация и численность персонала должна соответствовать выполняемым задачам и объему технологических операций склада.</w:t>
      </w:r>
    </w:p>
    <w:p w14:paraId="372A872B" w14:textId="6D87F4CE" w:rsidR="00344BAF" w:rsidRPr="00F531CD" w:rsidRDefault="00344BAF" w:rsidP="00344BAF">
      <w:pPr>
        <w:pStyle w:val="2"/>
        <w:keepNext w:val="0"/>
        <w:keepLines w:val="0"/>
        <w:numPr>
          <w:ilvl w:val="1"/>
          <w:numId w:val="7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Руководитель склада 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и его замещающее лицо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долж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>ны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иметь высшее фармацевтическое образование и действующий сертификат специалиста.</w:t>
      </w:r>
    </w:p>
    <w:p w14:paraId="75905B2D" w14:textId="11BB69AC" w:rsidR="00344BAF" w:rsidRPr="00F531CD" w:rsidRDefault="00344BAF" w:rsidP="00344BAF">
      <w:pPr>
        <w:pStyle w:val="2"/>
        <w:keepNext w:val="0"/>
        <w:keepLines w:val="0"/>
        <w:numPr>
          <w:ilvl w:val="1"/>
          <w:numId w:val="7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Уполномоченный по качеству 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и его замещающее лицо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>долж</w:t>
      </w:r>
      <w:r w:rsidR="006B7F4F" w:rsidRPr="00F531CD">
        <w:rPr>
          <w:rFonts w:ascii="Calibri" w:hAnsi="Calibri" w:cs="Calibri"/>
          <w:b w:val="0"/>
          <w:color w:val="auto"/>
          <w:sz w:val="24"/>
          <w:szCs w:val="24"/>
        </w:rPr>
        <w:t>ны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иметь высшее фармацевтическое образование и действующий сертификат специалиста.</w:t>
      </w:r>
    </w:p>
    <w:p w14:paraId="0E3D02D4" w14:textId="7367078D" w:rsidR="006B7F4F" w:rsidRPr="00F531CD" w:rsidRDefault="006B7F4F" w:rsidP="006B7F4F">
      <w:pPr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2.4 Должны быть установлены и должны соблюдаться соответствующие процедуры по гигиене труда и личной гигиене работников, применимые к осуществляемой деятельности. Персонал должен иметь рабочую одежду.</w:t>
      </w:r>
    </w:p>
    <w:p w14:paraId="3E06D664" w14:textId="77777777" w:rsidR="00344BAF" w:rsidRPr="00F531CD" w:rsidRDefault="00344BAF" w:rsidP="00344BAF">
      <w:pPr>
        <w:pStyle w:val="1"/>
        <w:tabs>
          <w:tab w:val="left" w:pos="426"/>
        </w:tabs>
        <w:spacing w:before="0"/>
        <w:rPr>
          <w:rFonts w:ascii="Calibri" w:hAnsi="Calibri" w:cs="Calibri"/>
          <w:color w:val="auto"/>
          <w:sz w:val="24"/>
          <w:szCs w:val="24"/>
        </w:rPr>
      </w:pPr>
      <w:r w:rsidRPr="00F531CD">
        <w:rPr>
          <w:rFonts w:ascii="Calibri" w:hAnsi="Calibri" w:cs="Calibri"/>
          <w:color w:val="auto"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color w:val="auto"/>
          <w:sz w:val="24"/>
          <w:szCs w:val="24"/>
          <w:lang w:val="en-US"/>
        </w:rPr>
        <w:t>III</w:t>
      </w:r>
      <w:r w:rsidRPr="00F531CD">
        <w:rPr>
          <w:rFonts w:ascii="Calibri" w:hAnsi="Calibri" w:cs="Calibri"/>
          <w:color w:val="auto"/>
          <w:sz w:val="24"/>
          <w:szCs w:val="24"/>
        </w:rPr>
        <w:t xml:space="preserve"> - Система товарного и финансового учета должна отвечать следующим требованиям</w:t>
      </w:r>
    </w:p>
    <w:p w14:paraId="275B9CB6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3.1. Основные требования:</w:t>
      </w:r>
    </w:p>
    <w:p w14:paraId="0097B88E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достоверность;</w:t>
      </w:r>
    </w:p>
    <w:p w14:paraId="578FC92C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оперативность;</w:t>
      </w:r>
    </w:p>
    <w:p w14:paraId="42256F8F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непрерывность;</w:t>
      </w:r>
    </w:p>
    <w:p w14:paraId="31358656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- защищенность.</w:t>
      </w:r>
    </w:p>
    <w:p w14:paraId="6D6F4C5C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3.2.</w:t>
      </w:r>
      <w:r w:rsidRPr="00F531CD">
        <w:rPr>
          <w:rFonts w:ascii="Calibri" w:hAnsi="Calibri" w:cs="Calibri"/>
          <w:sz w:val="24"/>
          <w:szCs w:val="24"/>
        </w:rPr>
        <w:tab/>
        <w:t>Все выполняемые операции должны иметь документальное отражение. Допускается использование электронного документооборота и компьютеризированных программ учета складских и товарных операций.</w:t>
      </w:r>
    </w:p>
    <w:p w14:paraId="61D14B53" w14:textId="7AD445CF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3.3.</w:t>
      </w:r>
      <w:r w:rsidRPr="00F531CD">
        <w:rPr>
          <w:rFonts w:ascii="Calibri" w:hAnsi="Calibri" w:cs="Calibri"/>
          <w:sz w:val="24"/>
          <w:szCs w:val="24"/>
        </w:rPr>
        <w:tab/>
        <w:t xml:space="preserve">Полная инвентаризация товарных запасов лекарственных средств должна </w:t>
      </w:r>
      <w:r w:rsidR="00A57E8B" w:rsidRPr="00F531CD">
        <w:rPr>
          <w:rFonts w:ascii="Calibri" w:hAnsi="Calibri" w:cs="Calibri"/>
          <w:sz w:val="24"/>
          <w:szCs w:val="24"/>
        </w:rPr>
        <w:t>проводиться</w:t>
      </w:r>
      <w:r w:rsidRPr="00F531CD">
        <w:rPr>
          <w:rFonts w:ascii="Calibri" w:hAnsi="Calibri" w:cs="Calibri"/>
          <w:sz w:val="24"/>
          <w:szCs w:val="24"/>
        </w:rPr>
        <w:t xml:space="preserve"> не реже 1 раза в год и оформляться документально.</w:t>
      </w:r>
    </w:p>
    <w:p w14:paraId="35438A31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b/>
          <w:sz w:val="24"/>
          <w:szCs w:val="24"/>
        </w:rPr>
      </w:pPr>
      <w:r w:rsidRPr="00F531CD">
        <w:rPr>
          <w:rFonts w:ascii="Calibri" w:hAnsi="Calibri" w:cs="Calibri"/>
          <w:b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b/>
          <w:sz w:val="24"/>
          <w:szCs w:val="24"/>
          <w:lang w:val="en-US"/>
        </w:rPr>
        <w:t>IV</w:t>
      </w:r>
      <w:r w:rsidRPr="00F531CD">
        <w:rPr>
          <w:rFonts w:ascii="Calibri" w:hAnsi="Calibri" w:cs="Calibri"/>
          <w:b/>
          <w:sz w:val="24"/>
          <w:szCs w:val="24"/>
        </w:rPr>
        <w:t xml:space="preserve"> - Транспортировка</w:t>
      </w:r>
    </w:p>
    <w:p w14:paraId="7B1947DF" w14:textId="74BE3AD5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Транспортировка лекарственных средств должна </w:t>
      </w:r>
      <w:r w:rsidR="00A57E8B" w:rsidRPr="00F531CD">
        <w:rPr>
          <w:rFonts w:ascii="Calibri" w:hAnsi="Calibri" w:cs="Calibri"/>
          <w:b w:val="0"/>
          <w:color w:val="auto"/>
          <w:sz w:val="24"/>
          <w:szCs w:val="24"/>
        </w:rPr>
        <w:t>производиться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с соблюдением требований к температурному режиму хранения и транспортировки указанными производителем лекарственных средств. В процессе транспортировки должна обеспечиваться предметная и качественная сохранность лекарственных средств.</w:t>
      </w:r>
    </w:p>
    <w:p w14:paraId="13E7408F" w14:textId="77777777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Транспортировка термолабильных лекарственных средств производится специализированных автотранспортом, оборудованным изотермическим фургоном, техническими средствами поддержания температуры и техническими средствами мониторинга температуры (далее по тексту - </w:t>
      </w:r>
      <w:proofErr w:type="spellStart"/>
      <w:r w:rsidRPr="00F531CD">
        <w:rPr>
          <w:rFonts w:ascii="Calibri" w:hAnsi="Calibri" w:cs="Calibri"/>
          <w:b w:val="0"/>
          <w:color w:val="auto"/>
          <w:sz w:val="24"/>
          <w:szCs w:val="24"/>
        </w:rPr>
        <w:t>терморегистратор</w:t>
      </w:r>
      <w:proofErr w:type="spellEnd"/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). Допускается транспортировка </w:t>
      </w:r>
      <w:r w:rsidRPr="00F531CD">
        <w:rPr>
          <w:rFonts w:ascii="Calibri" w:hAnsi="Calibri" w:cs="Calibri"/>
          <w:b w:val="0"/>
          <w:color w:val="auto"/>
          <w:sz w:val="24"/>
          <w:szCs w:val="24"/>
        </w:rPr>
        <w:lastRenderedPageBreak/>
        <w:t xml:space="preserve">с применением термоконтейнеров, сертифицированных на территории РФ, с применением </w:t>
      </w:r>
      <w:proofErr w:type="spellStart"/>
      <w:r w:rsidRPr="00F531CD">
        <w:rPr>
          <w:rFonts w:ascii="Calibri" w:hAnsi="Calibri" w:cs="Calibri"/>
          <w:b w:val="0"/>
          <w:color w:val="auto"/>
          <w:sz w:val="24"/>
          <w:szCs w:val="24"/>
        </w:rPr>
        <w:t>терморегистраторов</w:t>
      </w:r>
      <w:proofErr w:type="spellEnd"/>
      <w:r w:rsidRPr="00F531CD">
        <w:rPr>
          <w:rFonts w:ascii="Calibri" w:hAnsi="Calibri" w:cs="Calibri"/>
          <w:b w:val="0"/>
          <w:color w:val="auto"/>
          <w:sz w:val="24"/>
          <w:szCs w:val="24"/>
        </w:rPr>
        <w:t>.</w:t>
      </w:r>
    </w:p>
    <w:p w14:paraId="29A45BE2" w14:textId="77777777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Все используемые специализированные транспортные средства должны быть квалифицированы в летний и зимний период года, квалификация должна быть документально оформлена. </w:t>
      </w:r>
    </w:p>
    <w:p w14:paraId="2165ADD8" w14:textId="77777777" w:rsidR="00344BAF" w:rsidRPr="00F531CD" w:rsidRDefault="00344BAF" w:rsidP="00344BAF">
      <w:pPr>
        <w:pStyle w:val="2"/>
        <w:keepNext w:val="0"/>
        <w:keepLines w:val="0"/>
        <w:numPr>
          <w:ilvl w:val="0"/>
          <w:numId w:val="8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proofErr w:type="spellStart"/>
      <w:r w:rsidRPr="00F531CD">
        <w:rPr>
          <w:rFonts w:ascii="Calibri" w:hAnsi="Calibri" w:cs="Calibri"/>
          <w:b w:val="0"/>
          <w:color w:val="auto"/>
          <w:sz w:val="24"/>
          <w:szCs w:val="24"/>
        </w:rPr>
        <w:t>Терморегистраторы</w:t>
      </w:r>
      <w:proofErr w:type="spellEnd"/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 должны быть внесены в Государственный реестр средств измерения и иметь действующий сертификат поверки. Термодатчики должны иметь визуальную идентификацию, подтверждающую соблюдение температурного режима.</w:t>
      </w:r>
    </w:p>
    <w:p w14:paraId="54CAE88C" w14:textId="77777777" w:rsidR="00344BAF" w:rsidRPr="00F531CD" w:rsidRDefault="00344BAF" w:rsidP="00344BAF">
      <w:pPr>
        <w:pStyle w:val="a8"/>
        <w:numPr>
          <w:ilvl w:val="0"/>
          <w:numId w:val="8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bCs/>
          <w:sz w:val="24"/>
          <w:szCs w:val="24"/>
        </w:rPr>
        <w:t>Технологические процессы и операции должны быть описаны во внутренних регламентирующих документах, отдельно описывающие следующие процессы:</w:t>
      </w:r>
    </w:p>
    <w:p w14:paraId="07481BBA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Погрузка-разгрузка транспортных средств, правила размещения в грузовом отсеке транспортного средства;</w:t>
      </w:r>
    </w:p>
    <w:p w14:paraId="745C7261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Транспортировка лекарственных средств, контроль соблюдения температурных условий транспортировки;</w:t>
      </w:r>
    </w:p>
    <w:p w14:paraId="199CDBD7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Документально оформление приема-передачи лекарственных средств;</w:t>
      </w:r>
    </w:p>
    <w:p w14:paraId="31AA9076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транспортировки с применением термоконтейнеров;</w:t>
      </w:r>
    </w:p>
    <w:p w14:paraId="7774D209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работы с транспортными (курьерскими) организациями;</w:t>
      </w:r>
    </w:p>
    <w:p w14:paraId="57AA94EF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Техника безопасности на рабочем месте;</w:t>
      </w:r>
    </w:p>
    <w:p w14:paraId="462083CB" w14:textId="77777777" w:rsidR="00344BAF" w:rsidRPr="00F531CD" w:rsidRDefault="00344BAF" w:rsidP="00344BAF">
      <w:pPr>
        <w:pStyle w:val="a8"/>
        <w:numPr>
          <w:ilvl w:val="2"/>
          <w:numId w:val="2"/>
        </w:numPr>
        <w:tabs>
          <w:tab w:val="left" w:pos="284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Порядок обучения персонала.</w:t>
      </w:r>
    </w:p>
    <w:p w14:paraId="686CDCF5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9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>Транспортировка лекарственных средств с температурой хранения +(2-25) ⁰С, +(2-</w:t>
      </w:r>
      <w:proofErr w:type="gramStart"/>
      <w:r w:rsidRPr="00F531CD">
        <w:rPr>
          <w:rFonts w:ascii="Calibri" w:hAnsi="Calibri" w:cs="Calibri"/>
          <w:b w:val="0"/>
          <w:color w:val="auto"/>
          <w:sz w:val="24"/>
          <w:szCs w:val="24"/>
        </w:rPr>
        <w:t>30)⁰</w:t>
      </w:r>
      <w:proofErr w:type="gramEnd"/>
      <w:r w:rsidRPr="00F531CD">
        <w:rPr>
          <w:rFonts w:ascii="Calibri" w:hAnsi="Calibri" w:cs="Calibri"/>
          <w:b w:val="0"/>
          <w:color w:val="auto"/>
          <w:sz w:val="24"/>
          <w:szCs w:val="24"/>
        </w:rPr>
        <w:t>С, +(15-25)⁰С, +(12-15)⁰С в зимний период года производится в соответствии с требованиями п. 2-4 настоящего Раздела.</w:t>
      </w:r>
    </w:p>
    <w:p w14:paraId="33659785" w14:textId="77777777" w:rsidR="00344BAF" w:rsidRPr="00F531CD" w:rsidRDefault="00344BAF" w:rsidP="00344BAF">
      <w:pPr>
        <w:pStyle w:val="2"/>
        <w:keepNext w:val="0"/>
        <w:keepLines w:val="0"/>
        <w:numPr>
          <w:ilvl w:val="1"/>
          <w:numId w:val="9"/>
        </w:numPr>
        <w:tabs>
          <w:tab w:val="left" w:pos="426"/>
        </w:tabs>
        <w:spacing w:before="0"/>
        <w:ind w:left="0" w:firstLine="0"/>
        <w:rPr>
          <w:rFonts w:ascii="Calibri" w:hAnsi="Calibri" w:cs="Calibri"/>
          <w:b w:val="0"/>
          <w:color w:val="auto"/>
          <w:sz w:val="24"/>
          <w:szCs w:val="24"/>
        </w:rPr>
      </w:pPr>
      <w:r w:rsidRPr="00F531CD">
        <w:rPr>
          <w:rFonts w:ascii="Calibri" w:hAnsi="Calibri" w:cs="Calibri"/>
          <w:b w:val="0"/>
          <w:color w:val="auto"/>
          <w:sz w:val="24"/>
          <w:szCs w:val="24"/>
        </w:rPr>
        <w:t xml:space="preserve">Загрузка и разгрузка транспортных средств должны производиться в сжатые сроки без прерывания процесса, а также в случаях, когда, чувствительные к температуре, лекарственные препараты необходимо переместить через зоны без поддержания необходимой температуры. </w:t>
      </w:r>
    </w:p>
    <w:p w14:paraId="5B728E19" w14:textId="77777777" w:rsidR="00344BAF" w:rsidRPr="00F531CD" w:rsidRDefault="00344BAF" w:rsidP="00344BAF">
      <w:pPr>
        <w:pStyle w:val="a8"/>
        <w:numPr>
          <w:ilvl w:val="1"/>
          <w:numId w:val="9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Перед загрузкой транспортные средства/контейнеры следует предварительно подготовить (в зависимости от погодных условий) для обеспечения требуемой температуры (например, от 2 до 8°C для термолабильных продуктов).</w:t>
      </w:r>
    </w:p>
    <w:p w14:paraId="54C24B8B" w14:textId="77777777" w:rsidR="00344BAF" w:rsidRPr="00F531CD" w:rsidRDefault="00344BAF" w:rsidP="00344BAF">
      <w:pPr>
        <w:pStyle w:val="a8"/>
        <w:numPr>
          <w:ilvl w:val="1"/>
          <w:numId w:val="9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Аварийные сигнальные устройства должны быть установлены таким образом, чтобы можно было отследить отклонения от требуемой температуры и при возможности принять корректирующие меры. Отклонения от требуемого температурного диапазона следует регистрировать и сообщать грузоотправителю.</w:t>
      </w:r>
    </w:p>
    <w:p w14:paraId="3CD8F401" w14:textId="77777777" w:rsidR="00344BAF" w:rsidRPr="00F531CD" w:rsidRDefault="00344BAF" w:rsidP="00344BAF">
      <w:pPr>
        <w:pStyle w:val="a8"/>
        <w:numPr>
          <w:ilvl w:val="1"/>
          <w:numId w:val="9"/>
        </w:numPr>
        <w:shd w:val="clear" w:color="auto" w:fill="FFFFFF"/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Персонал грузоотправителя и поставщика транспортных услуг должен знать технологию и принцип работы активных охлаждающих контейнеров. В процессе периодических курсов обучения персонал получает необходимые знания о правильном </w:t>
      </w:r>
      <w:r w:rsidRPr="00F531CD">
        <w:rPr>
          <w:rFonts w:ascii="Calibri" w:hAnsi="Calibri" w:cs="Calibri"/>
          <w:sz w:val="24"/>
          <w:szCs w:val="24"/>
        </w:rPr>
        <w:lastRenderedPageBreak/>
        <w:t>обращении с продуктами на всех стадиях процесса транспортировки. Используемые системы должны поддерживаться в надлежащем состоянии. Например, необходимо осуществлять регулярное техническое обслуживание для обеспечения правильного функционирования активных контейнеров и автомобилей-рефрижераторов.</w:t>
      </w:r>
    </w:p>
    <w:p w14:paraId="6A15A267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b/>
          <w:sz w:val="24"/>
          <w:szCs w:val="24"/>
        </w:rPr>
      </w:pPr>
      <w:r w:rsidRPr="00F531CD">
        <w:rPr>
          <w:rFonts w:ascii="Calibri" w:hAnsi="Calibri" w:cs="Calibri"/>
          <w:b/>
          <w:sz w:val="24"/>
          <w:szCs w:val="24"/>
        </w:rPr>
        <w:t xml:space="preserve">Раздел </w:t>
      </w:r>
      <w:r w:rsidRPr="00F531CD">
        <w:rPr>
          <w:rFonts w:ascii="Calibri" w:hAnsi="Calibri" w:cs="Calibri"/>
          <w:b/>
          <w:sz w:val="24"/>
          <w:szCs w:val="24"/>
          <w:lang w:val="en-US"/>
        </w:rPr>
        <w:t>V</w:t>
      </w:r>
      <w:r w:rsidRPr="00F531CD">
        <w:rPr>
          <w:rFonts w:ascii="Calibri" w:hAnsi="Calibri" w:cs="Calibri"/>
          <w:b/>
          <w:sz w:val="24"/>
          <w:szCs w:val="24"/>
        </w:rPr>
        <w:t xml:space="preserve"> - Требования к проведению квалификации </w:t>
      </w:r>
    </w:p>
    <w:p w14:paraId="5B0433AA" w14:textId="77777777" w:rsidR="00344BAF" w:rsidRPr="00F531CD" w:rsidRDefault="00344BAF" w:rsidP="00344BAF">
      <w:pPr>
        <w:pStyle w:val="a8"/>
        <w:numPr>
          <w:ilvl w:val="0"/>
          <w:numId w:val="10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Квалификация представляет собой процесс оценки и документированного подтверждения того, что складские помещения, климатическое и холодильное оборудование, транспортные средства функционируют в соответствии с предъявляемыми требованиями и способны обеспечить достижение ожидаемых, приемлемых и воспроизводимых результатов.</w:t>
      </w:r>
    </w:p>
    <w:p w14:paraId="4B3EF053" w14:textId="4B40A542" w:rsidR="00344BAF" w:rsidRPr="00F531CD" w:rsidRDefault="007435C4" w:rsidP="00344BAF">
      <w:pPr>
        <w:pStyle w:val="a8"/>
        <w:numPr>
          <w:ilvl w:val="0"/>
          <w:numId w:val="10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Деловые партнера </w:t>
      </w:r>
      <w:r w:rsidR="00344BAF" w:rsidRPr="00F531CD">
        <w:rPr>
          <w:rFonts w:ascii="Calibri" w:hAnsi="Calibri" w:cs="Calibri"/>
          <w:sz w:val="24"/>
          <w:szCs w:val="24"/>
        </w:rPr>
        <w:t>обязаны осуществлять квалификацию вышеуказанных объектов.</w:t>
      </w:r>
    </w:p>
    <w:p w14:paraId="48968BC0" w14:textId="0A10B27E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5.3. БИОКАД вправе затребовать у </w:t>
      </w:r>
      <w:r w:rsidR="007435C4" w:rsidRPr="00F531CD">
        <w:rPr>
          <w:rFonts w:ascii="Calibri" w:hAnsi="Calibri" w:cs="Calibri"/>
          <w:sz w:val="24"/>
          <w:szCs w:val="24"/>
        </w:rPr>
        <w:t xml:space="preserve">Делового партнера </w:t>
      </w:r>
      <w:r w:rsidRPr="00F531CD">
        <w:rPr>
          <w:rFonts w:ascii="Calibri" w:hAnsi="Calibri" w:cs="Calibri"/>
          <w:sz w:val="24"/>
          <w:szCs w:val="24"/>
        </w:rPr>
        <w:t xml:space="preserve">документальное подтверждение проведения квалификации. </w:t>
      </w:r>
    </w:p>
    <w:p w14:paraId="527C184B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 Квалификация должна включать в себя следующие этапы:</w:t>
      </w:r>
    </w:p>
    <w:p w14:paraId="7DBCE363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5.4.1. Определение объекта квалификации;</w:t>
      </w:r>
    </w:p>
    <w:p w14:paraId="526C4D9E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5.4.2. Составление спецификации на объект квалификации;</w:t>
      </w:r>
    </w:p>
    <w:p w14:paraId="1FEA7B98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5.4.3. Составления плана квалификационных работ;</w:t>
      </w:r>
    </w:p>
    <w:p w14:paraId="01943DDB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5.4.4. Разработку протоколов квалификации;</w:t>
      </w:r>
    </w:p>
    <w:p w14:paraId="2F15A08C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5.4.5. Проведение квалификационных испытаний IQ, OQ, PQ;</w:t>
      </w:r>
    </w:p>
    <w:p w14:paraId="6BBCF838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5.4.6. Обработку результатов квалификационных испытаний;</w:t>
      </w:r>
    </w:p>
    <w:p w14:paraId="4B8B6E1F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5.4.7. Составление отчета о квалификации.</w:t>
      </w:r>
    </w:p>
    <w:p w14:paraId="3F0C818A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5.5. Обязательный перечень квалификационных испытаний:</w:t>
      </w:r>
    </w:p>
    <w:p w14:paraId="5DD262A6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i/>
          <w:sz w:val="24"/>
          <w:szCs w:val="24"/>
        </w:rPr>
        <w:t xml:space="preserve">5.5.1. Этап </w:t>
      </w:r>
      <w:r w:rsidRPr="00F531CD">
        <w:rPr>
          <w:rFonts w:ascii="Calibri" w:hAnsi="Calibri" w:cs="Calibri"/>
          <w:i/>
          <w:sz w:val="24"/>
          <w:szCs w:val="24"/>
          <w:lang w:val="en-US"/>
        </w:rPr>
        <w:t>IQ</w:t>
      </w:r>
      <w:r w:rsidRPr="00F531CD">
        <w:rPr>
          <w:rFonts w:ascii="Calibri" w:hAnsi="Calibri" w:cs="Calibri"/>
          <w:i/>
          <w:sz w:val="24"/>
          <w:szCs w:val="24"/>
        </w:rPr>
        <w:t>.</w:t>
      </w:r>
      <w:r w:rsidRPr="00F531CD">
        <w:rPr>
          <w:rFonts w:ascii="Calibri" w:hAnsi="Calibri" w:cs="Calibri"/>
          <w:sz w:val="24"/>
          <w:szCs w:val="24"/>
        </w:rPr>
        <w:t xml:space="preserve"> Квалификация установленного оборудования/ построенного складского помещения/ транспортного средства.</w:t>
      </w:r>
    </w:p>
    <w:p w14:paraId="6B1F5A23" w14:textId="77777777" w:rsidR="00344BAF" w:rsidRPr="00F531CD" w:rsidRDefault="00344BAF" w:rsidP="00344BAF">
      <w:pPr>
        <w:pStyle w:val="a8"/>
        <w:numPr>
          <w:ilvl w:val="0"/>
          <w:numId w:val="3"/>
        </w:numPr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Визуальный осмотр и оценка состояния объекта квалификации: отсутствие видимых повреждений, дефектов.</w:t>
      </w:r>
    </w:p>
    <w:p w14:paraId="2CD1D6C5" w14:textId="77777777" w:rsidR="00344BAF" w:rsidRPr="00F531CD" w:rsidRDefault="00344BAF" w:rsidP="00344BAF">
      <w:pPr>
        <w:pStyle w:val="a8"/>
        <w:numPr>
          <w:ilvl w:val="0"/>
          <w:numId w:val="3"/>
        </w:numPr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Проверка соответствия спецификаций на оборудование/ помещение /транспортное средство.</w:t>
      </w:r>
    </w:p>
    <w:p w14:paraId="09290655" w14:textId="77777777" w:rsidR="00344BAF" w:rsidRPr="00F531CD" w:rsidRDefault="00344BAF" w:rsidP="00344BAF">
      <w:pPr>
        <w:pStyle w:val="a8"/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Спецификация должна содержать основные эксплуатационные характеристики объекта квалификации.</w:t>
      </w:r>
    </w:p>
    <w:p w14:paraId="05E4984A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i/>
          <w:sz w:val="24"/>
          <w:szCs w:val="24"/>
        </w:rPr>
        <w:t xml:space="preserve">5.5.2. Этап </w:t>
      </w:r>
      <w:r w:rsidRPr="00F531CD">
        <w:rPr>
          <w:rFonts w:ascii="Calibri" w:hAnsi="Calibri" w:cs="Calibri"/>
          <w:i/>
          <w:sz w:val="24"/>
          <w:szCs w:val="24"/>
          <w:lang w:val="en-US"/>
        </w:rPr>
        <w:t>OQ</w:t>
      </w:r>
      <w:r w:rsidRPr="00F531CD">
        <w:rPr>
          <w:rFonts w:ascii="Calibri" w:hAnsi="Calibri" w:cs="Calibri"/>
          <w:i/>
          <w:sz w:val="24"/>
          <w:szCs w:val="24"/>
        </w:rPr>
        <w:t>.</w:t>
      </w:r>
      <w:r w:rsidRPr="00F531CD">
        <w:rPr>
          <w:rFonts w:ascii="Calibri" w:hAnsi="Calibri" w:cs="Calibri"/>
          <w:sz w:val="24"/>
          <w:szCs w:val="24"/>
        </w:rPr>
        <w:t xml:space="preserve"> Квалификация функционирующего оборудования/ складского помещения/транспортного средства.</w:t>
      </w:r>
    </w:p>
    <w:p w14:paraId="2DB30535" w14:textId="77777777" w:rsidR="00344BAF" w:rsidRPr="00F531CD" w:rsidRDefault="00344BAF" w:rsidP="00344BAF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Функционирование системы блокировки дверей.</w:t>
      </w:r>
    </w:p>
    <w:p w14:paraId="47DB902E" w14:textId="77777777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Двери объекта квалификации должны иметь блокировку от несанкционированного доступа посторонних лиц к продукту хранения (лекарственному средству).</w:t>
      </w:r>
    </w:p>
    <w:p w14:paraId="4D370AF4" w14:textId="77777777" w:rsidR="00344BAF" w:rsidRPr="00F531CD" w:rsidRDefault="00344BAF" w:rsidP="00344BAF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Стабильность поддержания климатических параметров.</w:t>
      </w:r>
    </w:p>
    <w:p w14:paraId="53AC0F1A" w14:textId="77777777" w:rsidR="00344BAF" w:rsidRPr="00F531CD" w:rsidRDefault="00344BAF" w:rsidP="00344BAF">
      <w:pPr>
        <w:pStyle w:val="a8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lastRenderedPageBreak/>
        <w:t xml:space="preserve">Продолжительность проведения испытания по определению стабильности поддержания климатических параметров на этапе OQ, PQ должна составлять не менее 24 ч согласно PDA </w:t>
      </w:r>
      <w:proofErr w:type="spellStart"/>
      <w:r w:rsidRPr="00F531CD">
        <w:rPr>
          <w:rFonts w:ascii="Calibri" w:hAnsi="Calibri" w:cs="Calibri"/>
          <w:sz w:val="24"/>
          <w:szCs w:val="24"/>
        </w:rPr>
        <w:t>Technical</w:t>
      </w:r>
      <w:proofErr w:type="spellEnd"/>
      <w:r w:rsidRPr="00F531CD">
        <w:rPr>
          <w:rFonts w:ascii="Calibri" w:hAnsi="Calibri" w:cs="Calibri"/>
          <w:sz w:val="24"/>
          <w:szCs w:val="24"/>
        </w:rPr>
        <w:t xml:space="preserve"> Report №64 «Active </w:t>
      </w:r>
      <w:proofErr w:type="spellStart"/>
      <w:r w:rsidRPr="00F531CD">
        <w:rPr>
          <w:rFonts w:ascii="Calibri" w:hAnsi="Calibri" w:cs="Calibri"/>
          <w:sz w:val="24"/>
          <w:szCs w:val="24"/>
        </w:rPr>
        <w:t>Temperature-Controlled</w:t>
      </w:r>
      <w:proofErr w:type="spellEnd"/>
      <w:r w:rsidRPr="00F531CD">
        <w:rPr>
          <w:rFonts w:ascii="Calibri" w:hAnsi="Calibri" w:cs="Calibri"/>
          <w:sz w:val="24"/>
          <w:szCs w:val="24"/>
        </w:rPr>
        <w:t xml:space="preserve"> Systems: </w:t>
      </w:r>
      <w:proofErr w:type="spellStart"/>
      <w:r w:rsidRPr="00F531CD">
        <w:rPr>
          <w:rFonts w:ascii="Calibri" w:hAnsi="Calibri" w:cs="Calibri"/>
          <w:sz w:val="24"/>
          <w:szCs w:val="24"/>
        </w:rPr>
        <w:t>Qualification</w:t>
      </w:r>
      <w:proofErr w:type="spellEnd"/>
      <w:r w:rsidRPr="00F531C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531CD">
        <w:rPr>
          <w:rFonts w:ascii="Calibri" w:hAnsi="Calibri" w:cs="Calibri"/>
          <w:sz w:val="24"/>
          <w:szCs w:val="24"/>
        </w:rPr>
        <w:t>Guidance</w:t>
      </w:r>
      <w:proofErr w:type="spellEnd"/>
      <w:r w:rsidRPr="00F531CD">
        <w:rPr>
          <w:rFonts w:ascii="Calibri" w:hAnsi="Calibri" w:cs="Calibri"/>
          <w:sz w:val="24"/>
          <w:szCs w:val="24"/>
        </w:rPr>
        <w:t>».</w:t>
      </w:r>
    </w:p>
    <w:p w14:paraId="0ACC37D5" w14:textId="71B887C9" w:rsidR="00344BAF" w:rsidRPr="00F531CD" w:rsidRDefault="00344BAF" w:rsidP="00344BAF">
      <w:pPr>
        <w:pStyle w:val="a8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Складское помещение / холодильное оборудование / транспортное средство должно </w:t>
      </w:r>
      <w:r w:rsidR="00A57E8B" w:rsidRPr="00F531CD">
        <w:rPr>
          <w:rFonts w:ascii="Calibri" w:hAnsi="Calibri" w:cs="Calibri"/>
          <w:sz w:val="24"/>
          <w:szCs w:val="24"/>
        </w:rPr>
        <w:t>находиться</w:t>
      </w:r>
      <w:r w:rsidRPr="00F531CD">
        <w:rPr>
          <w:rFonts w:ascii="Calibri" w:hAnsi="Calibri" w:cs="Calibri"/>
          <w:sz w:val="24"/>
          <w:szCs w:val="24"/>
        </w:rPr>
        <w:t xml:space="preserve"> в работе, двери помещения / оборудования должны оставаться закрытыми на протяжении всего времени испытания. Измерение температуры и относительной влажности </w:t>
      </w:r>
      <w:r w:rsidRPr="00F531CD">
        <w:rPr>
          <w:rFonts w:ascii="Calibri" w:hAnsi="Calibri" w:cs="Calibri"/>
          <w:i/>
          <w:sz w:val="24"/>
          <w:szCs w:val="24"/>
          <w:u w:val="single"/>
        </w:rPr>
        <w:t>(при необходимости)</w:t>
      </w:r>
      <w:r w:rsidRPr="00F531CD">
        <w:rPr>
          <w:rFonts w:ascii="Calibri" w:hAnsi="Calibri" w:cs="Calibri"/>
          <w:i/>
          <w:sz w:val="24"/>
          <w:szCs w:val="24"/>
        </w:rPr>
        <w:t xml:space="preserve"> </w:t>
      </w:r>
      <w:r w:rsidRPr="00F531CD">
        <w:rPr>
          <w:rFonts w:ascii="Calibri" w:hAnsi="Calibri" w:cs="Calibri"/>
          <w:sz w:val="24"/>
          <w:szCs w:val="24"/>
        </w:rPr>
        <w:t xml:space="preserve">выполняется с помощью соответствующего количества датчиков требуемого диапазона, размещенных в контрольных точках, в течение установленного периода времени </w:t>
      </w:r>
      <w:r w:rsidRPr="00F531CD">
        <w:rPr>
          <w:rFonts w:ascii="Calibri" w:hAnsi="Calibri" w:cs="Calibri"/>
          <w:sz w:val="24"/>
          <w:szCs w:val="24"/>
          <w:u w:val="single"/>
        </w:rPr>
        <w:t>без загрузки</w:t>
      </w:r>
      <w:r w:rsidRPr="00F531CD">
        <w:rPr>
          <w:rFonts w:ascii="Calibri" w:hAnsi="Calibri" w:cs="Calibri"/>
          <w:sz w:val="24"/>
          <w:szCs w:val="24"/>
        </w:rPr>
        <w:t>. Во время циклов автоматического размораживания холодильного оборудования допускается выход климатических параметров за установленные пределы значений в течение короткого периода времени (не более 20 минут). Исходные электронные данные, полученные с помощью КИП в ходе проведения испытания, необходимо записать на электронный носитель.</w:t>
      </w:r>
    </w:p>
    <w:p w14:paraId="5786A29F" w14:textId="77777777" w:rsidR="00344BAF" w:rsidRPr="00F531CD" w:rsidRDefault="00344BAF" w:rsidP="00344BAF">
      <w:pPr>
        <w:pStyle w:val="a8"/>
        <w:numPr>
          <w:ilvl w:val="0"/>
          <w:numId w:val="11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Эксплуатация приборов для измерения температуры и относительной влажности осуществляется в соответствии с инструкцией производителя.</w:t>
      </w:r>
    </w:p>
    <w:p w14:paraId="63198919" w14:textId="77777777" w:rsidR="00344BAF" w:rsidRPr="00F531CD" w:rsidRDefault="00344BAF" w:rsidP="00344BAF">
      <w:pPr>
        <w:pStyle w:val="a8"/>
        <w:numPr>
          <w:ilvl w:val="0"/>
          <w:numId w:val="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Определение времени восстановления климатических параметров после открытия, закрытия дверей</w:t>
      </w:r>
    </w:p>
    <w:p w14:paraId="65AD6E07" w14:textId="611EF431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Складское помещение / холодильное оборудование должно </w:t>
      </w:r>
      <w:r w:rsidR="00A57E8B" w:rsidRPr="00F531CD">
        <w:rPr>
          <w:rFonts w:ascii="Calibri" w:hAnsi="Calibri" w:cs="Calibri"/>
          <w:sz w:val="24"/>
          <w:szCs w:val="24"/>
        </w:rPr>
        <w:t>находиться</w:t>
      </w:r>
      <w:r w:rsidRPr="00F531CD">
        <w:rPr>
          <w:rFonts w:ascii="Calibri" w:hAnsi="Calibri" w:cs="Calibri"/>
          <w:sz w:val="24"/>
          <w:szCs w:val="24"/>
        </w:rPr>
        <w:t xml:space="preserve"> в работе. Измерение температуры и относительной влажности (при необходимости) выполняется с помощью соответствующего количества датчиков требуемого диапазона, размещенных в контрольных точках, учитывая состояние загрузки (0÷100%) складского помещения / холодильного оборудования. </w:t>
      </w:r>
    </w:p>
    <w:p w14:paraId="4962FC9A" w14:textId="77777777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Испытание включает следующие этапы измерения климатических параметров:</w:t>
      </w:r>
    </w:p>
    <w:p w14:paraId="758175A9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до открытия дверей (60 минут);</w:t>
      </w:r>
    </w:p>
    <w:p w14:paraId="028BCCCF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открытие дверей (15 минут);</w:t>
      </w:r>
    </w:p>
    <w:p w14:paraId="483CD0C7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закрытие дверей;</w:t>
      </w:r>
    </w:p>
    <w:p w14:paraId="6022493F" w14:textId="77777777" w:rsidR="00344BAF" w:rsidRPr="00F531CD" w:rsidRDefault="00344BAF" w:rsidP="00344BAF">
      <w:pPr>
        <w:pStyle w:val="a8"/>
        <w:numPr>
          <w:ilvl w:val="0"/>
          <w:numId w:val="13"/>
        </w:numPr>
        <w:tabs>
          <w:tab w:val="left" w:pos="284"/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после закрытия дверей (60 минут).</w:t>
      </w:r>
    </w:p>
    <w:p w14:paraId="1E60D666" w14:textId="77777777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Устанавливается время, за которое значения климатических параметров выходят за требуемый диапазон при открытии дверей и возвращаются обратно при их закрытии. Исходные данные, полученные в ходе проведения испытания, необходимо записать на электронный носитель.</w:t>
      </w:r>
    </w:p>
    <w:p w14:paraId="040DB8BC" w14:textId="77777777" w:rsidR="00344BAF" w:rsidRPr="00F531CD" w:rsidRDefault="00344BAF" w:rsidP="00344BAF">
      <w:pPr>
        <w:pStyle w:val="a8"/>
        <w:numPr>
          <w:ilvl w:val="0"/>
          <w:numId w:val="12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Эксплуатация приборов для измерения температуры и относительной влажности осуществляется в соответствии с инструкцией производителя.</w:t>
      </w:r>
    </w:p>
    <w:p w14:paraId="1D74C82F" w14:textId="77777777" w:rsidR="00344BAF" w:rsidRPr="00F531CD" w:rsidRDefault="00344BAF" w:rsidP="00344BAF">
      <w:pPr>
        <w:tabs>
          <w:tab w:val="left" w:pos="426"/>
        </w:tabs>
        <w:spacing w:after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i/>
          <w:sz w:val="24"/>
          <w:szCs w:val="24"/>
        </w:rPr>
        <w:t xml:space="preserve">5.5.3. Этап </w:t>
      </w:r>
      <w:r w:rsidRPr="00F531CD">
        <w:rPr>
          <w:rFonts w:ascii="Calibri" w:hAnsi="Calibri" w:cs="Calibri"/>
          <w:i/>
          <w:sz w:val="24"/>
          <w:szCs w:val="24"/>
          <w:lang w:val="en-US"/>
        </w:rPr>
        <w:t>PQ</w:t>
      </w:r>
      <w:r w:rsidRPr="00F531CD">
        <w:rPr>
          <w:rFonts w:ascii="Calibri" w:hAnsi="Calibri" w:cs="Calibri"/>
          <w:i/>
          <w:sz w:val="24"/>
          <w:szCs w:val="24"/>
        </w:rPr>
        <w:t>.</w:t>
      </w:r>
      <w:r w:rsidRPr="00F531CD">
        <w:rPr>
          <w:rFonts w:ascii="Calibri" w:hAnsi="Calibri" w:cs="Calibri"/>
          <w:sz w:val="24"/>
          <w:szCs w:val="24"/>
        </w:rPr>
        <w:t xml:space="preserve"> Квалификация эксплуатируемого оборудования / складского помещения / транспортного средства.</w:t>
      </w:r>
    </w:p>
    <w:p w14:paraId="24307C48" w14:textId="77777777" w:rsidR="00344BAF" w:rsidRPr="00F531CD" w:rsidRDefault="00344BAF" w:rsidP="00344BAF">
      <w:pPr>
        <w:pStyle w:val="a8"/>
        <w:numPr>
          <w:ilvl w:val="0"/>
          <w:numId w:val="5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Стабильность поддержания климатических параметров</w:t>
      </w:r>
    </w:p>
    <w:p w14:paraId="731C9B63" w14:textId="77777777" w:rsidR="00344BAF" w:rsidRPr="00F531CD" w:rsidRDefault="00344BAF" w:rsidP="00344BAF">
      <w:pPr>
        <w:pStyle w:val="a8"/>
        <w:numPr>
          <w:ilvl w:val="0"/>
          <w:numId w:val="1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lastRenderedPageBreak/>
        <w:t xml:space="preserve">Продолжительность проведения испытания по определению стабильности поддержания климатических параметров на этапе OQ, PQ должна составлять не менее 24 ч согласно PDA </w:t>
      </w:r>
      <w:proofErr w:type="spellStart"/>
      <w:r w:rsidRPr="00F531CD">
        <w:rPr>
          <w:rFonts w:ascii="Calibri" w:hAnsi="Calibri" w:cs="Calibri"/>
          <w:sz w:val="24"/>
          <w:szCs w:val="24"/>
        </w:rPr>
        <w:t>Technical</w:t>
      </w:r>
      <w:proofErr w:type="spellEnd"/>
      <w:r w:rsidRPr="00F531CD">
        <w:rPr>
          <w:rFonts w:ascii="Calibri" w:hAnsi="Calibri" w:cs="Calibri"/>
          <w:sz w:val="24"/>
          <w:szCs w:val="24"/>
        </w:rPr>
        <w:t xml:space="preserve"> Report №64 «Active </w:t>
      </w:r>
      <w:proofErr w:type="spellStart"/>
      <w:r w:rsidRPr="00F531CD">
        <w:rPr>
          <w:rFonts w:ascii="Calibri" w:hAnsi="Calibri" w:cs="Calibri"/>
          <w:sz w:val="24"/>
          <w:szCs w:val="24"/>
        </w:rPr>
        <w:t>Temperature-Controlled</w:t>
      </w:r>
      <w:proofErr w:type="spellEnd"/>
      <w:r w:rsidRPr="00F531CD">
        <w:rPr>
          <w:rFonts w:ascii="Calibri" w:hAnsi="Calibri" w:cs="Calibri"/>
          <w:sz w:val="24"/>
          <w:szCs w:val="24"/>
        </w:rPr>
        <w:t xml:space="preserve"> Systems: </w:t>
      </w:r>
      <w:proofErr w:type="spellStart"/>
      <w:r w:rsidRPr="00F531CD">
        <w:rPr>
          <w:rFonts w:ascii="Calibri" w:hAnsi="Calibri" w:cs="Calibri"/>
          <w:sz w:val="24"/>
          <w:szCs w:val="24"/>
        </w:rPr>
        <w:t>Qualification</w:t>
      </w:r>
      <w:proofErr w:type="spellEnd"/>
      <w:r w:rsidRPr="00F531C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531CD">
        <w:rPr>
          <w:rFonts w:ascii="Calibri" w:hAnsi="Calibri" w:cs="Calibri"/>
          <w:sz w:val="24"/>
          <w:szCs w:val="24"/>
        </w:rPr>
        <w:t>Guidance</w:t>
      </w:r>
      <w:proofErr w:type="spellEnd"/>
      <w:r w:rsidRPr="00F531CD">
        <w:rPr>
          <w:rFonts w:ascii="Calibri" w:hAnsi="Calibri" w:cs="Calibri"/>
          <w:sz w:val="24"/>
          <w:szCs w:val="24"/>
        </w:rPr>
        <w:t>».</w:t>
      </w:r>
    </w:p>
    <w:p w14:paraId="2B821EE0" w14:textId="1D4C6ED1" w:rsidR="00344BAF" w:rsidRPr="00F531CD" w:rsidRDefault="00344BAF" w:rsidP="00344BAF">
      <w:pPr>
        <w:pStyle w:val="a8"/>
        <w:numPr>
          <w:ilvl w:val="0"/>
          <w:numId w:val="1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 xml:space="preserve">Складское помещение / холодильное оборудование / транспортное средство должно </w:t>
      </w:r>
      <w:r w:rsidR="00A57E8B" w:rsidRPr="00F531CD">
        <w:rPr>
          <w:rFonts w:ascii="Calibri" w:hAnsi="Calibri" w:cs="Calibri"/>
          <w:sz w:val="24"/>
          <w:szCs w:val="24"/>
        </w:rPr>
        <w:t>находиться</w:t>
      </w:r>
      <w:r w:rsidRPr="00F531CD">
        <w:rPr>
          <w:rFonts w:ascii="Calibri" w:hAnsi="Calibri" w:cs="Calibri"/>
          <w:sz w:val="24"/>
          <w:szCs w:val="24"/>
        </w:rPr>
        <w:t xml:space="preserve"> в работе, двери помещения / оборудования должны оставаться закрытыми на протяжении всего времени испытания. Измерение температуры и относительной влажности </w:t>
      </w:r>
      <w:r w:rsidRPr="00F531CD">
        <w:rPr>
          <w:rFonts w:ascii="Calibri" w:hAnsi="Calibri" w:cs="Calibri"/>
          <w:i/>
          <w:sz w:val="24"/>
          <w:szCs w:val="24"/>
          <w:u w:val="single"/>
        </w:rPr>
        <w:t>(при необходимости)</w:t>
      </w:r>
      <w:r w:rsidRPr="00F531CD">
        <w:rPr>
          <w:rFonts w:ascii="Calibri" w:hAnsi="Calibri" w:cs="Calibri"/>
          <w:i/>
          <w:sz w:val="24"/>
          <w:szCs w:val="24"/>
        </w:rPr>
        <w:t xml:space="preserve"> </w:t>
      </w:r>
      <w:r w:rsidRPr="00F531CD">
        <w:rPr>
          <w:rFonts w:ascii="Calibri" w:hAnsi="Calibri" w:cs="Calibri"/>
          <w:sz w:val="24"/>
          <w:szCs w:val="24"/>
        </w:rPr>
        <w:t xml:space="preserve">выполняется с помощью соответствующего количества датчиков требуемого диапазона, размещенных в контрольных точках, в течение установленного периода времени, </w:t>
      </w:r>
      <w:r w:rsidRPr="00F531CD">
        <w:rPr>
          <w:rFonts w:ascii="Calibri" w:hAnsi="Calibri" w:cs="Calibri"/>
          <w:sz w:val="24"/>
          <w:szCs w:val="24"/>
          <w:u w:val="single"/>
        </w:rPr>
        <w:t>учитывая состояние загрузки (0÷100%)</w:t>
      </w:r>
      <w:r w:rsidRPr="00F531CD">
        <w:rPr>
          <w:rFonts w:ascii="Calibri" w:hAnsi="Calibri" w:cs="Calibri"/>
          <w:sz w:val="24"/>
          <w:szCs w:val="24"/>
        </w:rPr>
        <w:t xml:space="preserve"> складского помещения / холодильного оборудования. Во время циклов автоматического размораживания холодильного оборудования допускается выход климатических параметров за установленные пределы значений в течение короткого периода времени (не более 20 минут). Исходные электронные данные, полученные с помощью КИП в ходе проведения испытания, необходимо записать на электронный носитель.</w:t>
      </w:r>
    </w:p>
    <w:p w14:paraId="39E73F3B" w14:textId="77777777" w:rsidR="00344BAF" w:rsidRPr="00F531CD" w:rsidRDefault="00344BAF" w:rsidP="00344BAF">
      <w:pPr>
        <w:pStyle w:val="a8"/>
        <w:numPr>
          <w:ilvl w:val="0"/>
          <w:numId w:val="14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Эксплуатация приборов для измерения температуры и относительной влажности осуществляется в соответствии с инструкцией производителя.</w:t>
      </w:r>
    </w:p>
    <w:p w14:paraId="77719BB0" w14:textId="77777777" w:rsidR="00344BAF" w:rsidRPr="00F531CD" w:rsidRDefault="00344BAF" w:rsidP="00344BAF">
      <w:pPr>
        <w:pStyle w:val="a8"/>
        <w:numPr>
          <w:ilvl w:val="0"/>
          <w:numId w:val="5"/>
        </w:numPr>
        <w:tabs>
          <w:tab w:val="left" w:pos="426"/>
        </w:tabs>
        <w:spacing w:after="0"/>
        <w:ind w:left="0" w:firstLine="0"/>
        <w:contextualSpacing w:val="0"/>
        <w:rPr>
          <w:rFonts w:ascii="Calibri" w:hAnsi="Calibri" w:cs="Calibri"/>
          <w:sz w:val="24"/>
          <w:szCs w:val="24"/>
          <w:u w:val="single"/>
        </w:rPr>
      </w:pPr>
      <w:r w:rsidRPr="00F531CD">
        <w:rPr>
          <w:rFonts w:ascii="Calibri" w:hAnsi="Calibri" w:cs="Calibri"/>
          <w:sz w:val="24"/>
          <w:szCs w:val="24"/>
          <w:u w:val="single"/>
        </w:rPr>
        <w:t>Проверка процедур эксплуатации и обслуживания объекта квалификации, обучение персонала.</w:t>
      </w:r>
    </w:p>
    <w:p w14:paraId="1BEE9916" w14:textId="10F03945" w:rsidR="00344BAF" w:rsidRPr="00F531CD" w:rsidRDefault="00344BAF" w:rsidP="00344BAF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После обработки результатов испытаний составляется отчет о проведении квалификации, в котором отражается соответствие или несоответствие объекта квалификации предъявляемым требованиям, а также содержит информацию о возможности ввода объекта квалификации.</w:t>
      </w:r>
    </w:p>
    <w:p w14:paraId="1F757C81" w14:textId="77777777" w:rsidR="00EE048B" w:rsidRPr="00EE048B" w:rsidRDefault="00EE048B" w:rsidP="00EE048B">
      <w:pPr>
        <w:pStyle w:val="a8"/>
        <w:tabs>
          <w:tab w:val="left" w:pos="426"/>
        </w:tabs>
        <w:spacing w:after="0"/>
        <w:ind w:left="0"/>
        <w:contextualSpacing w:val="0"/>
        <w:rPr>
          <w:rFonts w:ascii="Calibri" w:hAnsi="Calibri" w:cs="Calibri"/>
          <w:sz w:val="24"/>
          <w:szCs w:val="24"/>
        </w:rPr>
      </w:pPr>
      <w:r w:rsidRPr="00F531CD">
        <w:rPr>
          <w:rFonts w:ascii="Calibri" w:hAnsi="Calibri" w:cs="Calibri"/>
          <w:sz w:val="24"/>
          <w:szCs w:val="24"/>
        </w:rPr>
        <w:t>5.6 В случае, если транспортные средства предоставляются подрядчиком по Договору оказания услуг, документация в соответствии с разделом 5.5 предоставляется в полном объеме Исполнителем работ и проверяется Деловым партнером, что может быть проверено при проведении аудита.</w:t>
      </w:r>
    </w:p>
    <w:p w14:paraId="21B2AB35" w14:textId="77777777" w:rsidR="00D22215" w:rsidRPr="00EE048B" w:rsidRDefault="00D22215">
      <w:pPr>
        <w:rPr>
          <w:rFonts w:ascii="Calibri" w:hAnsi="Calibri" w:cs="Calibri"/>
          <w:sz w:val="24"/>
          <w:szCs w:val="24"/>
        </w:rPr>
      </w:pPr>
    </w:p>
    <w:sectPr w:rsidR="00D22215" w:rsidRPr="00EE048B" w:rsidSect="0073677D">
      <w:headerReference w:type="default" r:id="rId11"/>
      <w:footerReference w:type="default" r:id="rId12"/>
      <w:pgSz w:w="12240" w:h="15840"/>
      <w:pgMar w:top="1134" w:right="850" w:bottom="1134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84BC" w14:textId="77777777" w:rsidR="009A4628" w:rsidRDefault="009A4628" w:rsidP="0073677D">
      <w:pPr>
        <w:spacing w:after="0" w:line="240" w:lineRule="auto"/>
      </w:pPr>
      <w:r>
        <w:separator/>
      </w:r>
    </w:p>
  </w:endnote>
  <w:endnote w:type="continuationSeparator" w:id="0">
    <w:p w14:paraId="1DE4D7EE" w14:textId="77777777" w:rsidR="009A4628" w:rsidRDefault="009A4628" w:rsidP="0073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1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25593E" w:rsidRPr="0082103E" w14:paraId="1ECA64DD" w14:textId="77777777" w:rsidTr="004432DE">
      <w:tc>
        <w:tcPr>
          <w:tcW w:w="8080" w:type="dxa"/>
        </w:tcPr>
        <w:p w14:paraId="50A503EE" w14:textId="23B2A66D" w:rsidR="0025593E" w:rsidRPr="00D22215" w:rsidRDefault="0025593E" w:rsidP="0025593E">
          <w:pPr>
            <w:tabs>
              <w:tab w:val="center" w:pos="4677"/>
            </w:tabs>
            <w:ind w:right="-285"/>
            <w:rPr>
              <w:rFonts w:ascii="Calibri" w:hAnsi="Calibri" w:cs="Calibri"/>
              <w:color w:val="FF0000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 w:rsidR="000321F9">
            <w:rPr>
              <w:rFonts w:ascii="Calibri" w:hAnsi="Calibri" w:cs="Calibri"/>
              <w:color w:val="3B3838"/>
              <w:sz w:val="18"/>
              <w:szCs w:val="18"/>
            </w:rPr>
            <w:t>7</w:t>
          </w:r>
          <w:r w:rsidRPr="00A57E8B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к</w:t>
          </w:r>
          <w:r w:rsidR="00A57E8B" w:rsidRPr="00A57E8B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A57E8B" w:rsidRPr="004445D7">
            <w:rPr>
              <w:rFonts w:ascii="Calibri" w:hAnsi="Calibri" w:cs="Calibri"/>
              <w:sz w:val="18"/>
              <w:szCs w:val="18"/>
            </w:rPr>
            <w:t>AFM-04-001-1</w:t>
          </w:r>
          <w:r w:rsidR="00BF00B5">
            <w:rPr>
              <w:rFonts w:ascii="Calibri" w:hAnsi="Calibri" w:cs="Calibri"/>
              <w:sz w:val="18"/>
              <w:szCs w:val="18"/>
            </w:rPr>
            <w:t>6</w:t>
          </w:r>
          <w:r w:rsidRPr="004445D7">
            <w:rPr>
              <w:rFonts w:ascii="Calibri" w:hAnsi="Calibri" w:cs="Calibri"/>
              <w:sz w:val="18"/>
              <w:szCs w:val="18"/>
            </w:rPr>
            <w:t xml:space="preserve"> / </w:t>
          </w:r>
          <w:proofErr w:type="spellStart"/>
          <w:r w:rsidRPr="004445D7">
            <w:rPr>
              <w:rFonts w:ascii="Calibri" w:hAnsi="Calibri" w:cs="Calibri"/>
              <w:sz w:val="18"/>
              <w:szCs w:val="18"/>
            </w:rPr>
            <w:t>Annex</w:t>
          </w:r>
          <w:proofErr w:type="spellEnd"/>
          <w:r w:rsidRPr="004445D7">
            <w:rPr>
              <w:rFonts w:ascii="Calibri" w:hAnsi="Calibri" w:cs="Calibri"/>
              <w:sz w:val="18"/>
              <w:szCs w:val="18"/>
            </w:rPr>
            <w:t xml:space="preserve"> </w:t>
          </w:r>
          <w:r w:rsidR="00F531CD">
            <w:rPr>
              <w:rFonts w:ascii="Calibri" w:hAnsi="Calibri" w:cs="Calibri"/>
              <w:sz w:val="18"/>
              <w:szCs w:val="18"/>
            </w:rPr>
            <w:t>7</w:t>
          </w:r>
          <w:r w:rsidRPr="004445D7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 w:rsidRPr="004445D7">
            <w:rPr>
              <w:rFonts w:ascii="Calibri" w:hAnsi="Calibri" w:cs="Calibri"/>
              <w:sz w:val="18"/>
              <w:szCs w:val="18"/>
            </w:rPr>
            <w:t>to</w:t>
          </w:r>
          <w:proofErr w:type="spellEnd"/>
          <w:r w:rsidRPr="004445D7">
            <w:rPr>
              <w:rFonts w:ascii="Calibri" w:hAnsi="Calibri" w:cs="Calibri"/>
              <w:sz w:val="18"/>
              <w:szCs w:val="18"/>
            </w:rPr>
            <w:t xml:space="preserve"> </w:t>
          </w:r>
          <w:r w:rsidR="00A57E8B" w:rsidRPr="004445D7">
            <w:rPr>
              <w:rFonts w:ascii="Calibri" w:hAnsi="Calibri" w:cs="Calibri"/>
              <w:sz w:val="18"/>
              <w:szCs w:val="18"/>
            </w:rPr>
            <w:t>AFM-04-001-1</w:t>
          </w:r>
          <w:r w:rsidR="00BF00B5">
            <w:rPr>
              <w:rFonts w:ascii="Calibri" w:hAnsi="Calibri" w:cs="Calibri"/>
              <w:sz w:val="18"/>
              <w:szCs w:val="18"/>
            </w:rPr>
            <w:t>6</w:t>
          </w:r>
        </w:p>
        <w:p w14:paraId="135870A7" w14:textId="51BB57E9" w:rsidR="0025593E" w:rsidRPr="006B2FE5" w:rsidRDefault="0025593E" w:rsidP="0025593E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АО «БИОКАД», 198515, г. Санкт-Петербург,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вн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. тер. г. поселок Стрельна, ул. Связи, д. 38, стр. 1,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помещ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89</w:t>
          </w:r>
        </w:p>
      </w:tc>
      <w:tc>
        <w:tcPr>
          <w:tcW w:w="2127" w:type="dxa"/>
        </w:tcPr>
        <w:p w14:paraId="42E6795B" w14:textId="77777777" w:rsidR="0025593E" w:rsidRPr="0082103E" w:rsidRDefault="0025593E" w:rsidP="0025593E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7BC3D309" w14:textId="77777777" w:rsidR="0073677D" w:rsidRDefault="007367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34E9" w14:textId="77777777" w:rsidR="009A4628" w:rsidRDefault="009A4628" w:rsidP="0073677D">
      <w:pPr>
        <w:spacing w:after="0" w:line="240" w:lineRule="auto"/>
      </w:pPr>
      <w:r>
        <w:separator/>
      </w:r>
    </w:p>
  </w:footnote>
  <w:footnote w:type="continuationSeparator" w:id="0">
    <w:p w14:paraId="0918D85E" w14:textId="77777777" w:rsidR="009A4628" w:rsidRDefault="009A4628" w:rsidP="0073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25593E" w:rsidRPr="00D814F5" w14:paraId="6F2DC10C" w14:textId="77777777" w:rsidTr="004432DE">
      <w:trPr>
        <w:trHeight w:val="840"/>
      </w:trPr>
      <w:tc>
        <w:tcPr>
          <w:tcW w:w="7399" w:type="dxa"/>
        </w:tcPr>
        <w:p w14:paraId="758E3216" w14:textId="3D9C3343" w:rsidR="0025593E" w:rsidRPr="001B4C79" w:rsidRDefault="0025593E" w:rsidP="0025593E">
          <w:pPr>
            <w:pStyle w:val="a3"/>
            <w:ind w:left="-109"/>
            <w:rPr>
              <w:rFonts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504B12">
            <w:rPr>
              <w:rFonts w:eastAsia="SimSun" w:cstheme="minorHAnsi"/>
              <w:b/>
              <w:noProof/>
              <w:color w:val="767171" w:themeColor="background2" w:themeShade="80"/>
              <w:sz w:val="28"/>
              <w:szCs w:val="28"/>
              <w:lang w:eastAsia="zh-CN"/>
            </w:rPr>
            <w:br/>
          </w:r>
          <w:r w:rsidRPr="00A57E8B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 xml:space="preserve">Технические требования к </w:t>
          </w:r>
          <w:r w:rsidR="007435C4">
            <w:rPr>
              <w:rFonts w:eastAsia="SimSun" w:cstheme="minorHAnsi"/>
              <w:b/>
              <w:noProof/>
              <w:sz w:val="28"/>
              <w:szCs w:val="28"/>
              <w:lang w:eastAsia="zh-CN"/>
            </w:rPr>
            <w:t>Деловому партнеру</w:t>
          </w:r>
        </w:p>
      </w:tc>
      <w:tc>
        <w:tcPr>
          <w:tcW w:w="2382" w:type="dxa"/>
        </w:tcPr>
        <w:p w14:paraId="6B246B1A" w14:textId="77777777" w:rsidR="0025593E" w:rsidRPr="00D814F5" w:rsidRDefault="0025593E" w:rsidP="0025593E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2CB986D3" wp14:editId="64760F43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5593E" w:rsidRPr="00D814F5" w14:paraId="79FAFC9A" w14:textId="77777777" w:rsidTr="004432DE">
      <w:trPr>
        <w:trHeight w:val="265"/>
      </w:trPr>
      <w:tc>
        <w:tcPr>
          <w:tcW w:w="7399" w:type="dxa"/>
        </w:tcPr>
        <w:p w14:paraId="4953EC42" w14:textId="77777777" w:rsidR="0025593E" w:rsidRPr="00D814F5" w:rsidRDefault="0025593E" w:rsidP="0025593E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339B8668" w14:textId="77777777" w:rsidR="0025593E" w:rsidRPr="00D814F5" w:rsidRDefault="0025593E" w:rsidP="0025593E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708002DE" w14:textId="77777777" w:rsidR="0025593E" w:rsidRPr="00D814F5" w:rsidRDefault="0025593E" w:rsidP="0025593E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74F58A85" w14:textId="77777777" w:rsidR="0073677D" w:rsidRDefault="0073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CF6"/>
    <w:multiLevelType w:val="hybridMultilevel"/>
    <w:tmpl w:val="2A101C40"/>
    <w:lvl w:ilvl="0" w:tplc="AD82058C">
      <w:start w:val="1"/>
      <w:numFmt w:val="lowerLetter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2D965B5"/>
    <w:multiLevelType w:val="multilevel"/>
    <w:tmpl w:val="46360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730A55"/>
    <w:multiLevelType w:val="hybridMultilevel"/>
    <w:tmpl w:val="039A64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E648F"/>
    <w:multiLevelType w:val="hybridMultilevel"/>
    <w:tmpl w:val="B4EA1B48"/>
    <w:lvl w:ilvl="0" w:tplc="AECEC6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7D79FE"/>
    <w:multiLevelType w:val="hybridMultilevel"/>
    <w:tmpl w:val="C3BC80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E216B"/>
    <w:multiLevelType w:val="hybridMultilevel"/>
    <w:tmpl w:val="5F5CDF6E"/>
    <w:lvl w:ilvl="0" w:tplc="02A83686">
      <w:start w:val="1"/>
      <w:numFmt w:val="decimal"/>
      <w:lvlText w:val="5.%1."/>
      <w:lvlJc w:val="left"/>
      <w:pPr>
        <w:ind w:left="7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C0EE6"/>
    <w:multiLevelType w:val="hybridMultilevel"/>
    <w:tmpl w:val="97946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81DFC"/>
    <w:multiLevelType w:val="multilevel"/>
    <w:tmpl w:val="021E8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8" w15:restartNumberingAfterBreak="0">
    <w:nsid w:val="364C49DF"/>
    <w:multiLevelType w:val="multilevel"/>
    <w:tmpl w:val="C0E211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6B3C3F"/>
    <w:multiLevelType w:val="hybridMultilevel"/>
    <w:tmpl w:val="DE54B75A"/>
    <w:lvl w:ilvl="0" w:tplc="A3C2BF1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14F6E"/>
    <w:multiLevelType w:val="hybridMultilevel"/>
    <w:tmpl w:val="E3CCC2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894035"/>
    <w:multiLevelType w:val="hybridMultilevel"/>
    <w:tmpl w:val="2ED27C0E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810082"/>
    <w:multiLevelType w:val="hybridMultilevel"/>
    <w:tmpl w:val="5A8036A2"/>
    <w:lvl w:ilvl="0" w:tplc="3E86024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3B714BE"/>
    <w:multiLevelType w:val="multilevel"/>
    <w:tmpl w:val="06A67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1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88"/>
    <w:rsid w:val="000321F9"/>
    <w:rsid w:val="00092FA8"/>
    <w:rsid w:val="000C3954"/>
    <w:rsid w:val="000C676B"/>
    <w:rsid w:val="000F5DA0"/>
    <w:rsid w:val="0025593E"/>
    <w:rsid w:val="002607CE"/>
    <w:rsid w:val="0028479A"/>
    <w:rsid w:val="00344BAF"/>
    <w:rsid w:val="003605B7"/>
    <w:rsid w:val="00374F9B"/>
    <w:rsid w:val="003A1DE5"/>
    <w:rsid w:val="003A2470"/>
    <w:rsid w:val="003B3A74"/>
    <w:rsid w:val="00412513"/>
    <w:rsid w:val="004445D7"/>
    <w:rsid w:val="0045735F"/>
    <w:rsid w:val="0049479F"/>
    <w:rsid w:val="005A4444"/>
    <w:rsid w:val="005E7888"/>
    <w:rsid w:val="006035C7"/>
    <w:rsid w:val="00632A9C"/>
    <w:rsid w:val="00656EB2"/>
    <w:rsid w:val="006B7F4F"/>
    <w:rsid w:val="0073677D"/>
    <w:rsid w:val="007435C4"/>
    <w:rsid w:val="007E349C"/>
    <w:rsid w:val="00831803"/>
    <w:rsid w:val="0090514B"/>
    <w:rsid w:val="00971CD5"/>
    <w:rsid w:val="00983E98"/>
    <w:rsid w:val="009A4628"/>
    <w:rsid w:val="00A10D42"/>
    <w:rsid w:val="00A57E8B"/>
    <w:rsid w:val="00AA6952"/>
    <w:rsid w:val="00B10EFF"/>
    <w:rsid w:val="00B4040B"/>
    <w:rsid w:val="00BD1856"/>
    <w:rsid w:val="00BF00B5"/>
    <w:rsid w:val="00C41C69"/>
    <w:rsid w:val="00CA63AE"/>
    <w:rsid w:val="00CE0193"/>
    <w:rsid w:val="00D06E2E"/>
    <w:rsid w:val="00D22215"/>
    <w:rsid w:val="00DA5CBF"/>
    <w:rsid w:val="00E43A59"/>
    <w:rsid w:val="00EE048B"/>
    <w:rsid w:val="00F531CD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5FE0"/>
  <w15:chartTrackingRefBased/>
  <w15:docId w15:val="{A64CDD05-CD7E-4544-94DA-3C0EF7F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AF"/>
    <w:pPr>
      <w:spacing w:after="200" w:line="276" w:lineRule="auto"/>
      <w:jc w:val="both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44B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B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77D"/>
  </w:style>
  <w:style w:type="paragraph" w:styleId="a5">
    <w:name w:val="footer"/>
    <w:basedOn w:val="a"/>
    <w:link w:val="a6"/>
    <w:uiPriority w:val="99"/>
    <w:unhideWhenUsed/>
    <w:rsid w:val="0073677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677D"/>
  </w:style>
  <w:style w:type="table" w:customStyle="1" w:styleId="11">
    <w:name w:val="Сетка таблицы1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3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736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44BA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44BA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344BAF"/>
    <w:pPr>
      <w:ind w:left="720"/>
      <w:contextualSpacing/>
    </w:pPr>
  </w:style>
  <w:style w:type="paragraph" w:styleId="a9">
    <w:name w:val="Revision"/>
    <w:hidden/>
    <w:uiPriority w:val="99"/>
    <w:semiHidden/>
    <w:rsid w:val="00DA5CBF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DB1C7-5AC0-460C-911E-A346A79B8600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customXml/itemProps2.xml><?xml version="1.0" encoding="utf-8"?>
<ds:datastoreItem xmlns:ds="http://schemas.openxmlformats.org/officeDocument/2006/customXml" ds:itemID="{60F6811E-529C-4A82-8A07-A0BC6EA73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C3A4F-F220-4CBE-85E3-5A50C8B50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6415CC-202E-4C25-83C9-D6E61C832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 Яна Олеговна</dc:creator>
  <cp:keywords/>
  <dc:description/>
  <cp:lastModifiedBy>Rusakova Alina</cp:lastModifiedBy>
  <cp:revision>7</cp:revision>
  <dcterms:created xsi:type="dcterms:W3CDTF">2025-02-21T10:28:00Z</dcterms:created>
  <dcterms:modified xsi:type="dcterms:W3CDTF">2025-08-07T09:07:00Z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